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88A75"/>
    <w:p w14:paraId="5C9A6AC9">
      <w:pPr>
        <w:pStyle w:val="2"/>
        <w:bidi w:val="0"/>
        <w:jc w:val="center"/>
        <w:rPr>
          <w:rFonts w:hint="eastAsia"/>
          <w:lang w:val="en-US" w:eastAsia="zh-CN"/>
        </w:rPr>
      </w:pPr>
      <w:bookmarkStart w:id="0" w:name="_Toc14699"/>
      <w:r>
        <w:rPr>
          <w:rFonts w:hint="eastAsia"/>
          <w:lang w:val="en-US" w:eastAsia="zh-CN"/>
        </w:rPr>
        <w:t>ivy_mooncake Technical White Paper</w:t>
      </w:r>
      <w:bookmarkEnd w:id="0"/>
    </w:p>
    <w:sdt>
      <w:sdtPr>
        <w:rPr>
          <w:rFonts w:ascii="宋体" w:hAnsi="宋体" w:eastAsia="宋体" w:cstheme="minorBidi"/>
          <w:kern w:val="2"/>
          <w:sz w:val="21"/>
          <w:szCs w:val="24"/>
          <w:lang w:val="en-US" w:eastAsia="zh-CN" w:bidi="ar-SA"/>
        </w:rPr>
        <w:id w:val="14748027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41A15A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7FA21EB">
          <w:pPr>
            <w:pStyle w:val="5"/>
            <w:tabs>
              <w:tab w:val="right" w:leader="dot" w:pos="8306"/>
            </w:tabs>
          </w:pPr>
          <w:r>
            <w:fldChar w:fldCharType="begin"/>
          </w:r>
          <w:r>
            <w:instrText xml:space="preserve">TOC \o "1-3" \h \u </w:instrText>
          </w:r>
          <w:r>
            <w:fldChar w:fldCharType="separate"/>
          </w:r>
          <w:r>
            <w:fldChar w:fldCharType="begin"/>
          </w:r>
          <w:r>
            <w:instrText xml:space="preserve"> HYPERLINK \l _Toc14699 </w:instrText>
          </w:r>
          <w:r>
            <w:fldChar w:fldCharType="separate"/>
          </w:r>
          <w:r>
            <w:rPr>
              <w:rFonts w:hint="eastAsia"/>
              <w:lang w:val="en-US" w:eastAsia="zh-CN"/>
            </w:rPr>
            <w:t>ivy_mooncake Technical White Paper</w:t>
          </w:r>
          <w:r>
            <w:tab/>
          </w:r>
          <w:r>
            <w:fldChar w:fldCharType="begin"/>
          </w:r>
          <w:r>
            <w:instrText xml:space="preserve"> PAGEREF _Toc14699 \h </w:instrText>
          </w:r>
          <w:r>
            <w:fldChar w:fldCharType="separate"/>
          </w:r>
          <w:r>
            <w:t>1</w:t>
          </w:r>
          <w:r>
            <w:fldChar w:fldCharType="end"/>
          </w:r>
          <w:r>
            <w:fldChar w:fldCharType="end"/>
          </w:r>
        </w:p>
        <w:p w14:paraId="2EC41262">
          <w:pPr>
            <w:pStyle w:val="6"/>
            <w:tabs>
              <w:tab w:val="right" w:leader="dot" w:pos="8306"/>
            </w:tabs>
          </w:pPr>
          <w:r>
            <w:fldChar w:fldCharType="begin"/>
          </w:r>
          <w:r>
            <w:instrText xml:space="preserve"> HYPERLINK \l _Toc22444 </w:instrText>
          </w:r>
          <w:r>
            <w:fldChar w:fldCharType="separate"/>
          </w:r>
          <w:r>
            <w:rPr>
              <w:rFonts w:hint="eastAsia" w:ascii="微软雅黑" w:hAnsi="微软雅黑" w:eastAsia="微软雅黑" w:cs="微软雅黑"/>
              <w:lang w:val="en-US" w:eastAsia="zh-CN"/>
            </w:rPr>
            <w:t>1. Product Positioning</w:t>
          </w:r>
          <w:r>
            <w:tab/>
          </w:r>
          <w:r>
            <w:fldChar w:fldCharType="begin"/>
          </w:r>
          <w:r>
            <w:instrText xml:space="preserve"> PAGEREF _Toc22444 \h </w:instrText>
          </w:r>
          <w:r>
            <w:fldChar w:fldCharType="separate"/>
          </w:r>
          <w:r>
            <w:t>1</w:t>
          </w:r>
          <w:r>
            <w:fldChar w:fldCharType="end"/>
          </w:r>
          <w:r>
            <w:fldChar w:fldCharType="end"/>
          </w:r>
        </w:p>
        <w:p w14:paraId="5D48548F">
          <w:pPr>
            <w:pStyle w:val="6"/>
            <w:tabs>
              <w:tab w:val="right" w:leader="dot" w:pos="8306"/>
            </w:tabs>
          </w:pPr>
          <w:r>
            <w:fldChar w:fldCharType="begin"/>
          </w:r>
          <w:r>
            <w:instrText xml:space="preserve"> HYPERLINK \l _Toc20672 </w:instrText>
          </w:r>
          <w:r>
            <w:fldChar w:fldCharType="separate"/>
          </w:r>
          <w:r>
            <w:rPr>
              <w:rFonts w:hint="eastAsia"/>
              <w:lang w:val="en-US" w:eastAsia="zh-CN"/>
            </w:rPr>
            <w:t>二、 Use Cases</w:t>
          </w:r>
          <w:r>
            <w:tab/>
          </w:r>
          <w:r>
            <w:fldChar w:fldCharType="begin"/>
          </w:r>
          <w:r>
            <w:instrText xml:space="preserve"> PAGEREF _Toc20672 \h </w:instrText>
          </w:r>
          <w:r>
            <w:fldChar w:fldCharType="separate"/>
          </w:r>
          <w:r>
            <w:t>2</w:t>
          </w:r>
          <w:r>
            <w:fldChar w:fldCharType="end"/>
          </w:r>
          <w:r>
            <w:fldChar w:fldCharType="end"/>
          </w:r>
        </w:p>
        <w:p w14:paraId="08B7602B">
          <w:pPr>
            <w:pStyle w:val="6"/>
            <w:tabs>
              <w:tab w:val="right" w:leader="dot" w:pos="8306"/>
            </w:tabs>
          </w:pPr>
          <w:r>
            <w:fldChar w:fldCharType="begin"/>
          </w:r>
          <w:r>
            <w:instrText xml:space="preserve"> HYPERLINK \l _Toc16940 </w:instrText>
          </w:r>
          <w:r>
            <w:fldChar w:fldCharType="separate"/>
          </w:r>
          <w:r>
            <w:rPr>
              <w:rFonts w:hint="eastAsia"/>
              <w:lang w:val="en-US" w:eastAsia="zh-CN"/>
            </w:rPr>
            <w:t>三、 Product Features</w:t>
          </w:r>
          <w:r>
            <w:tab/>
          </w:r>
          <w:r>
            <w:fldChar w:fldCharType="begin"/>
          </w:r>
          <w:r>
            <w:instrText xml:space="preserve"> PAGEREF _Toc16940 \h </w:instrText>
          </w:r>
          <w:r>
            <w:fldChar w:fldCharType="separate"/>
          </w:r>
          <w:r>
            <w:t>4</w:t>
          </w:r>
          <w:r>
            <w:fldChar w:fldCharType="end"/>
          </w:r>
          <w:r>
            <w:fldChar w:fldCharType="end"/>
          </w:r>
        </w:p>
        <w:p w14:paraId="5845403C">
          <w:pPr>
            <w:pStyle w:val="6"/>
            <w:tabs>
              <w:tab w:val="right" w:leader="dot" w:pos="8306"/>
            </w:tabs>
          </w:pPr>
          <w:r>
            <w:fldChar w:fldCharType="begin"/>
          </w:r>
          <w:r>
            <w:instrText xml:space="preserve"> HYPERLINK \l _Toc3936 </w:instrText>
          </w:r>
          <w:r>
            <w:fldChar w:fldCharType="separate"/>
          </w:r>
          <w:r>
            <w:rPr>
              <w:rFonts w:hint="eastAsia"/>
              <w:lang w:val="en-US" w:eastAsia="zh-CN"/>
            </w:rPr>
            <w:t>四、 Technical Architecture</w:t>
          </w:r>
          <w:r>
            <w:tab/>
          </w:r>
          <w:r>
            <w:fldChar w:fldCharType="begin"/>
          </w:r>
          <w:r>
            <w:instrText xml:space="preserve"> PAGEREF _Toc3936 \h </w:instrText>
          </w:r>
          <w:r>
            <w:fldChar w:fldCharType="separate"/>
          </w:r>
          <w:r>
            <w:t>5</w:t>
          </w:r>
          <w:r>
            <w:fldChar w:fldCharType="end"/>
          </w:r>
          <w:r>
            <w:fldChar w:fldCharType="end"/>
          </w:r>
        </w:p>
        <w:p w14:paraId="6626D5C7">
          <w:pPr>
            <w:pStyle w:val="6"/>
            <w:tabs>
              <w:tab w:val="right" w:leader="dot" w:pos="8306"/>
            </w:tabs>
          </w:pPr>
          <w:r>
            <w:fldChar w:fldCharType="begin"/>
          </w:r>
          <w:r>
            <w:instrText xml:space="preserve"> HYPERLINK \l _Toc23813 </w:instrText>
          </w:r>
          <w:r>
            <w:fldChar w:fldCharType="separate"/>
          </w:r>
          <w:r>
            <w:rPr>
              <w:rFonts w:hint="eastAsia"/>
              <w:lang w:val="en-US" w:eastAsia="zh-CN"/>
            </w:rPr>
            <w:t>五、 Deployment Forms</w:t>
          </w:r>
          <w:r>
            <w:tab/>
          </w:r>
          <w:r>
            <w:fldChar w:fldCharType="begin"/>
          </w:r>
          <w:r>
            <w:instrText xml:space="preserve"> PAGEREF _Toc23813 \h </w:instrText>
          </w:r>
          <w:r>
            <w:fldChar w:fldCharType="separate"/>
          </w:r>
          <w:r>
            <w:t>7</w:t>
          </w:r>
          <w:r>
            <w:fldChar w:fldCharType="end"/>
          </w:r>
          <w:r>
            <w:fldChar w:fldCharType="end"/>
          </w:r>
        </w:p>
        <w:p w14:paraId="4698E572">
          <w:pPr>
            <w:pStyle w:val="6"/>
            <w:tabs>
              <w:tab w:val="right" w:leader="dot" w:pos="8306"/>
            </w:tabs>
          </w:pPr>
          <w:r>
            <w:fldChar w:fldCharType="begin"/>
          </w:r>
          <w:r>
            <w:instrText xml:space="preserve"> HYPERLINK \l _Toc18248 </w:instrText>
          </w:r>
          <w:r>
            <w:fldChar w:fldCharType="separate"/>
          </w:r>
          <w:r>
            <w:rPr>
              <w:rFonts w:hint="eastAsia"/>
              <w:lang w:val="en-US" w:eastAsia="zh-CN"/>
            </w:rPr>
            <w:t>六、 Roadmap</w:t>
          </w:r>
          <w:r>
            <w:tab/>
          </w:r>
          <w:r>
            <w:fldChar w:fldCharType="begin"/>
          </w:r>
          <w:r>
            <w:instrText xml:space="preserve"> PAGEREF _Toc18248 \h </w:instrText>
          </w:r>
          <w:r>
            <w:fldChar w:fldCharType="separate"/>
          </w:r>
          <w:r>
            <w:t>9</w:t>
          </w:r>
          <w:r>
            <w:fldChar w:fldCharType="end"/>
          </w:r>
          <w:r>
            <w:fldChar w:fldCharType="end"/>
          </w:r>
        </w:p>
        <w:p w14:paraId="712CB619">
          <w:r>
            <w:fldChar w:fldCharType="end"/>
          </w:r>
        </w:p>
      </w:sdtContent>
    </w:sdt>
    <w:p w14:paraId="59216210">
      <w:pPr>
        <w:rPr>
          <w:rFonts w:hint="eastAsia"/>
          <w:lang w:val="en-US" w:eastAsia="zh-CN"/>
        </w:rPr>
      </w:pPr>
    </w:p>
    <w:p w14:paraId="794E05BA">
      <w:pPr>
        <w:pStyle w:val="3"/>
        <w:bidi w:val="0"/>
        <w:rPr>
          <w:rFonts w:hint="eastAsia" w:ascii="微软雅黑" w:hAnsi="微软雅黑" w:eastAsia="微软雅黑" w:cs="微软雅黑"/>
          <w:lang w:val="en-US" w:eastAsia="zh-CN"/>
        </w:rPr>
      </w:pPr>
      <w:bookmarkStart w:id="1" w:name="_Toc22444"/>
      <w:r>
        <w:rPr>
          <w:rFonts w:hint="eastAsia" w:ascii="微软雅黑" w:hAnsi="微软雅黑" w:eastAsia="微软雅黑" w:cs="微软雅黑"/>
          <w:lang w:val="en-US" w:eastAsia="zh-CN"/>
        </w:rPr>
        <w:t>1. Product Positioning</w:t>
      </w:r>
      <w:bookmarkEnd w:id="1"/>
    </w:p>
    <w:p w14:paraId="1B4BC38D">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is a Postgres real-time analytics extension that delivers sub-second data freshness, targets open lakehouse formats, and provides end-to-end support for both PostgreSQL native types and IvorySQL Oracle-compatible types.</w:t>
      </w:r>
    </w:p>
    <w:p w14:paraId="7AC9CA04">
      <w:pPr>
        <w:rPr>
          <w:rFonts w:hint="eastAsia" w:ascii="微软雅黑" w:hAnsi="微软雅黑" w:eastAsia="微软雅黑" w:cs="微软雅黑"/>
          <w:lang w:val="en-US" w:eastAsia="zh-CN"/>
        </w:rPr>
      </w:pPr>
    </w:p>
    <w:p w14:paraId="6E26953D">
      <w:pPr>
        <w:numPr>
          <w:ilvl w:val="0"/>
          <w:numId w:val="1"/>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In-database columnstore mirror + real-time CDC synchronization, for more efficient mixed transactional/analytical workloads, with no ETL data movement.</w:t>
      </w:r>
    </w:p>
    <w:p w14:paraId="008E1A53">
      <w:pPr>
        <w:numPr>
          <w:ilvl w:val="0"/>
          <w:numId w:val="1"/>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DuckDB columnar vectorized execution engine for high-performance OLAP.</w:t>
      </w:r>
    </w:p>
    <w:p w14:paraId="38D52FBB">
      <w:pPr>
        <w:numPr>
          <w:ilvl w:val="0"/>
          <w:numId w:val="1"/>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Apache Iceberg open-format persistence, free of format lock-in.</w:t>
      </w:r>
    </w:p>
    <w:p w14:paraId="6129C3CD">
      <w:pPr>
        <w:numPr>
          <w:ilvl w:val="0"/>
          <w:numId w:val="1"/>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End-to-end support for IvorySQL Oracle-compatible types, enabling real-time analytics after Oracle migration.</w:t>
      </w:r>
    </w:p>
    <w:p w14:paraId="757E9562">
      <w:pPr>
        <w:numPr>
          <w:ilvl w:val="0"/>
          <w:numId w:val="1"/>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Supports both PostgreSQL native types and Oracle-compatible types.</w:t>
      </w:r>
    </w:p>
    <w:p w14:paraId="1F9A5E34">
      <w:pPr>
        <w:rPr>
          <w:rFonts w:hint="eastAsia" w:ascii="微软雅黑" w:hAnsi="微软雅黑" w:eastAsia="微软雅黑" w:cs="微软雅黑"/>
          <w:lang w:val="en-US" w:eastAsia="zh-CN"/>
        </w:rPr>
      </w:pPr>
    </w:p>
    <w:p w14:paraId="50E2C785">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is a Postgres real-time analytics extension built for multi-core real-time analytics with extreme columnar performance, open-lakehouse data interoperability, and end-to-end type compatibility for Oracle migration — fully open and friendly, and co-built with community partners.</w:t>
      </w:r>
    </w:p>
    <w:p w14:paraId="7CD982A4">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is the IvorySQL distribution of pg_mooncake. It deeply integrates IvorySQL's engineering expertise in Oracle compatibility with DuckDB's R&amp;D experience in real-time columnar analytics, and continuously builds competitive features around enterprise-grade migration and near-real-time analytics scenarios.</w:t>
      </w:r>
    </w:p>
    <w:p w14:paraId="398ABE15">
      <w:pPr>
        <w:jc w:val="left"/>
        <w:rPr>
          <w:rFonts w:hint="eastAsia" w:ascii="微软雅黑" w:hAnsi="微软雅黑" w:eastAsia="微软雅黑" w:cs="微软雅黑"/>
          <w:lang w:val="en-US" w:eastAsia="zh-CN"/>
        </w:rPr>
      </w:pPr>
    </w:p>
    <w:p w14:paraId="6E95515F">
      <w:pPr>
        <w:pStyle w:val="3"/>
        <w:numPr>
          <w:ilvl w:val="0"/>
          <w:numId w:val="2"/>
        </w:numPr>
        <w:bidi w:val="0"/>
        <w:rPr>
          <w:rFonts w:hint="default"/>
          <w:lang w:val="en-US" w:eastAsia="zh-CN"/>
        </w:rPr>
      </w:pPr>
      <w:bookmarkStart w:id="2" w:name="_Toc20672"/>
      <w:r>
        <w:rPr>
          <w:rFonts w:hint="eastAsia"/>
          <w:lang w:val="en-US" w:eastAsia="zh-CN"/>
        </w:rPr>
        <w:t>Use Cases</w:t>
      </w:r>
      <w:bookmarkEnd w:id="2"/>
    </w:p>
    <w:p w14:paraId="017B612A">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Near-real-time operational analytics</w:t>
      </w:r>
    </w:p>
    <w:p w14:paraId="1D8EFDD6">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Hybrid scenarios with high write throughput, low-latency visibility, and a balance of OLTP-dominant transactions and analytics demand. Examples include e-commerce operations dashboards, financial risk control, O2O real-time dispatching, and telecom CRM/billing reports. The business database handles transactions as usual while the columnstore mirror handles aggregation queries; dashboards and decisions read sub-second fresh data, and the analytical workload does not contend for resources with row-store transactions.</w:t>
      </w:r>
    </w:p>
    <w:p w14:paraId="5B0CE9A2">
      <w:pPr>
        <w:numPr>
          <w:ilvl w:val="0"/>
          <w:numId w:val="0"/>
        </w:numPr>
        <w:rPr>
          <w:rFonts w:hint="eastAsia" w:ascii="微软雅黑" w:hAnsi="微软雅黑" w:eastAsia="微软雅黑" w:cs="微软雅黑"/>
          <w:lang w:val="en-US" w:eastAsia="zh-CN"/>
        </w:rPr>
      </w:pPr>
    </w:p>
    <w:p w14:paraId="22CB45B0">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Real-time analytics after Oracle migration</w:t>
      </w:r>
    </w:p>
    <w:p w14:paraId="3477BD9C">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Core systems in finance, government/enterprise, and telecom migrated from Oracle to IvorySQL whose business tables heavily use Oracle-specific types (DATE, NUMBER, RAW, etc.), needing to preserve Oracle semantics while connecting to modern analytics and lakehouse. Business tables containing Oracle types are mirrored directly to Iceberg via CDC and consumed by downstream engines, with compatible-type semantics preserved end to end, closing the post-migration analytics gap.</w:t>
      </w:r>
    </w:p>
    <w:p w14:paraId="435389F9">
      <w:pPr>
        <w:numPr>
          <w:ilvl w:val="0"/>
          <w:numId w:val="0"/>
        </w:numPr>
        <w:rPr>
          <w:rFonts w:hint="eastAsia" w:ascii="微软雅黑" w:hAnsi="微软雅黑" w:eastAsia="微软雅黑" w:cs="微软雅黑"/>
          <w:lang w:val="en-US" w:eastAsia="zh-CN"/>
        </w:rPr>
      </w:pPr>
    </w:p>
    <w:p w14:paraId="21435BEC">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Open lakehouse federated analytics</w:t>
      </w:r>
    </w:p>
    <w:p w14:paraId="17FE1769">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Scenarios where data is scattered across object storage (S3/OSS), existing Iceberg warehouses, and Postgres business databases, requiring a single entry point for ad-hoc read-only analytics while avoiding new engines and format lock-in. In simplified mode (ivy_duckdb only), IvorySQL serves as a query entry point that reads Parquet/CSV/Iceberg directly, performing cross-source federated queries over existing data lakes with a short path and no background process.</w:t>
      </w:r>
    </w:p>
    <w:p w14:paraId="38080798">
      <w:pPr>
        <w:numPr>
          <w:ilvl w:val="0"/>
          <w:numId w:val="0"/>
        </w:numPr>
        <w:rPr>
          <w:rFonts w:hint="eastAsia" w:ascii="微软雅黑" w:hAnsi="微软雅黑" w:eastAsia="微软雅黑" w:cs="微软雅黑"/>
          <w:lang w:val="en-US" w:eastAsia="zh-CN"/>
        </w:rPr>
      </w:pPr>
    </w:p>
    <w:p w14:paraId="0453CB11">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IoT and time-series append-only data</w:t>
      </w:r>
    </w:p>
    <w:p w14:paraId="34D56092">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In scenarios such as industrial monitoring, connected vehicles, and smart cities, there are many sensor devices with high sampling rates, data is written mostly via append, and writes and analytics are equally important. High-frequency appends are continuously landed as columnar Iceberg via CDC; row store handles real-time point lookups and latest state, while the columnstore mirror handles scans and aggregations over massive history.</w:t>
      </w:r>
    </w:p>
    <w:p w14:paraId="582640DC">
      <w:pPr>
        <w:numPr>
          <w:ilvl w:val="0"/>
          <w:numId w:val="0"/>
        </w:numPr>
        <w:rPr>
          <w:rFonts w:hint="eastAsia" w:ascii="微软雅黑" w:hAnsi="微软雅黑" w:eastAsia="微软雅黑" w:cs="微软雅黑"/>
          <w:lang w:val="en-US" w:eastAsia="zh-CN"/>
        </w:rPr>
      </w:pPr>
    </w:p>
    <w:p w14:paraId="2E15B769">
      <w:pPr>
        <w:pStyle w:val="3"/>
        <w:numPr>
          <w:ilvl w:val="0"/>
          <w:numId w:val="2"/>
        </w:numPr>
        <w:bidi w:val="0"/>
        <w:ind w:left="0" w:leftChars="0" w:firstLine="0" w:firstLineChars="0"/>
        <w:rPr>
          <w:rFonts w:hint="eastAsia"/>
          <w:lang w:val="en-US" w:eastAsia="zh-CN"/>
        </w:rPr>
      </w:pPr>
      <w:bookmarkStart w:id="3" w:name="_Toc16940"/>
      <w:r>
        <w:rPr>
          <w:rFonts w:hint="eastAsia"/>
          <w:lang w:val="en-US" w:eastAsia="zh-CN"/>
        </w:rPr>
        <w:t>Product Features</w:t>
      </w:r>
      <w:bookmarkEnd w:id="3"/>
    </w:p>
    <w:p w14:paraId="20C213A2">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Compared with the generic "transactional database + external data warehouse" approach, ivy_mooncake offers the following key features:</w:t>
      </w:r>
    </w:p>
    <w:p w14:paraId="2A4EA579">
      <w:pPr>
        <w:widowControl w:val="0"/>
        <w:numPr>
          <w:ilvl w:val="0"/>
          <w:numId w:val="0"/>
        </w:numPr>
        <w:jc w:val="both"/>
        <w:rPr>
          <w:rFonts w:hint="eastAsia" w:ascii="微软雅黑" w:hAnsi="微软雅黑" w:eastAsia="微软雅黑" w:cs="微软雅黑"/>
          <w:lang w:val="en-US" w:eastAsia="zh-CN"/>
        </w:rPr>
      </w:pPr>
    </w:p>
    <w:p w14:paraId="7746B6E0">
      <w:pPr>
        <w:widowControl w:val="0"/>
        <w:numPr>
          <w:ilvl w:val="0"/>
          <w:numId w:val="4"/>
        </w:numPr>
        <w:ind w:left="0" w:leftChars="0" w:firstLine="0"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High-performance columnar analytics</w:t>
      </w:r>
    </w:p>
    <w:p w14:paraId="788CC9A0">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DuckDB columnar, vectorized execution engine that performs parallel scans and aggregations across multiple cores.</w:t>
      </w:r>
    </w:p>
    <w:p w14:paraId="52B9B33D">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The mirror is landed as Apache Iceberg / Parquet columnar storage, giving analytical scans an order-of-magnitude advantage over row store.</w:t>
      </w:r>
    </w:p>
    <w:p w14:paraId="56949E47">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The analytical workload runs on the columnstore mirror, physically isolated from the row-store transactional workload, so they do not contend for resources.</w:t>
      </w:r>
    </w:p>
    <w:p w14:paraId="47B631CC">
      <w:pPr>
        <w:widowControl w:val="0"/>
        <w:numPr>
          <w:ilvl w:val="0"/>
          <w:numId w:val="0"/>
        </w:numPr>
        <w:jc w:val="both"/>
        <w:rPr>
          <w:rFonts w:hint="eastAsia" w:ascii="微软雅黑" w:hAnsi="微软雅黑" w:eastAsia="微软雅黑" w:cs="微软雅黑"/>
          <w:lang w:val="en-US" w:eastAsia="zh-CN"/>
        </w:rPr>
      </w:pPr>
    </w:p>
    <w:p w14:paraId="1DA1D115">
      <w:pPr>
        <w:widowControl w:val="0"/>
        <w:numPr>
          <w:ilvl w:val="0"/>
          <w:numId w:val="4"/>
        </w:numPr>
        <w:ind w:left="425" w:leftChars="0" w:hanging="425"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Real-time, ETL-free latency</w:t>
      </w:r>
    </w:p>
    <w:p w14:paraId="06325E8B">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moonlink reads WAL through a logical replication slot for persistent storage.</w:t>
      </w:r>
    </w:p>
    <w:p w14:paraId="7368919D">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Decode → Arrow columnar → Iceberg writer continuously land data, so the mirror follows source-table updates in real time.</w:t>
      </w:r>
    </w:p>
    <w:p w14:paraId="13E3A306">
      <w:pPr>
        <w:widowControl w:val="0"/>
        <w:numPr>
          <w:ilvl w:val="0"/>
          <w:numId w:val="0"/>
        </w:numPr>
        <w:jc w:val="both"/>
        <w:rPr>
          <w:rFonts w:hint="eastAsia" w:ascii="微软雅黑" w:hAnsi="微软雅黑" w:eastAsia="微软雅黑" w:cs="微软雅黑"/>
          <w:lang w:val="en-US" w:eastAsia="zh-CN"/>
        </w:rPr>
      </w:pPr>
    </w:p>
    <w:p w14:paraId="58CF0CD8">
      <w:pPr>
        <w:widowControl w:val="0"/>
        <w:numPr>
          <w:ilvl w:val="0"/>
          <w:numId w:val="4"/>
        </w:numPr>
        <w:ind w:left="425" w:leftChars="0" w:hanging="425"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Open lakehouse format</w:t>
      </w:r>
    </w:p>
    <w:p w14:paraId="482EE388">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The mirror is stored in the Apache Iceberg open format, free of format lock-in.</w:t>
      </w:r>
    </w:p>
    <w:p w14:paraId="2C9A6A2E">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Integrated as a PostgreSQL extension, natively fused with the Postgres privilege, connection, and tooling ecosystem, with no new query language.</w:t>
      </w:r>
    </w:p>
    <w:p w14:paraId="210539B1">
      <w:pPr>
        <w:widowControl w:val="0"/>
        <w:numPr>
          <w:ilvl w:val="0"/>
          <w:numId w:val="0"/>
        </w:numPr>
        <w:jc w:val="both"/>
        <w:rPr>
          <w:rFonts w:hint="eastAsia" w:ascii="微软雅黑" w:hAnsi="微软雅黑" w:eastAsia="微软雅黑" w:cs="微软雅黑"/>
          <w:lang w:val="en-US" w:eastAsia="zh-CN"/>
        </w:rPr>
      </w:pPr>
    </w:p>
    <w:p w14:paraId="1975749D">
      <w:pPr>
        <w:widowControl w:val="0"/>
        <w:numPr>
          <w:ilvl w:val="0"/>
          <w:numId w:val="4"/>
        </w:numPr>
        <w:ind w:left="425" w:leftChars="0" w:hanging="425" w:firstLine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Oracle compatibility (based on IvorySQL)</w:t>
      </w:r>
    </w:p>
    <w:p w14:paraId="27F2A15F">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End-to-end support for IvorySQL Oracle-compatible types.</w:t>
      </w:r>
    </w:p>
    <w:p w14:paraId="104B54A6">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Supports both PostgreSQL native data types and Oracle-compatible types.</w:t>
      </w:r>
    </w:p>
    <w:p w14:paraId="6F8BCCA0">
      <w:pPr>
        <w:widowControl w:val="0"/>
        <w:numPr>
          <w:ilvl w:val="0"/>
          <w:numId w:val="0"/>
        </w:numPr>
        <w:jc w:val="both"/>
        <w:rPr>
          <w:rFonts w:hint="default"/>
          <w:lang w:val="en-US" w:eastAsia="zh-CN"/>
        </w:rPr>
      </w:pPr>
    </w:p>
    <w:p w14:paraId="0E3B7221">
      <w:pPr>
        <w:pStyle w:val="3"/>
        <w:numPr>
          <w:ilvl w:val="0"/>
          <w:numId w:val="2"/>
        </w:numPr>
        <w:bidi w:val="0"/>
        <w:ind w:left="0" w:leftChars="0" w:firstLine="0" w:firstLineChars="0"/>
        <w:rPr>
          <w:rFonts w:hint="eastAsia"/>
          <w:lang w:val="en-US" w:eastAsia="zh-CN"/>
        </w:rPr>
      </w:pPr>
      <w:bookmarkStart w:id="4" w:name="_Toc3936"/>
      <w:r>
        <w:rPr>
          <w:rFonts w:hint="eastAsia"/>
          <w:lang w:val="en-US" w:eastAsia="zh-CN"/>
        </w:rPr>
        <w:t>Technical Architecture</w:t>
      </w:r>
      <w:bookmarkEnd w:id="4"/>
    </w:p>
    <w:p w14:paraId="278720B7">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is an in-process extension system within Postgres and introduces no separate data-warehouse service node. In this architecture, business data still resides in Postgres row-store tables; data changes are captured in real time by the moonlink background process through a logical replication slot and mirrored in columnar format to an Iceberg warehouse; analytical tasks are pushed down to the in-process DuckDB engine and executed via columnar vectorized scans, achieving fast response for analytical workloads. Meanwhile, the mirror is landed in the Apache Iceberg open format, which both guarantees openness for external engines to read the data and supports horizontal scaling of the read path.</w:t>
      </w:r>
    </w:p>
    <w:p w14:paraId="62276B16">
      <w:pPr>
        <w:widowControl w:val="0"/>
        <w:numPr>
          <w:ilvl w:val="0"/>
          <w:numId w:val="0"/>
        </w:numPr>
        <w:jc w:val="both"/>
        <w:rPr>
          <w:rFonts w:hint="eastAsia" w:ascii="微软雅黑" w:hAnsi="微软雅黑" w:eastAsia="微软雅黑" w:cs="微软雅黑"/>
          <w:lang w:val="en-US" w:eastAsia="zh-CN"/>
        </w:rPr>
      </w:pPr>
    </w:p>
    <w:p w14:paraId="1B82BF82">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is organized along two data paths, read and write, and supports two deployment forms: the full edition (including ivy_moonlink) and the simplified edition (pg_duckdb read-only). Its logical architecture is shown below.</w:t>
      </w:r>
    </w:p>
    <w:p w14:paraId="14B5B35A">
      <w:pPr>
        <w:widowControl w:val="0"/>
        <w:numPr>
          <w:ilvl w:val="0"/>
          <w:numId w:val="0"/>
        </w:numPr>
        <w:jc w:val="both"/>
        <w:rPr>
          <w:rFonts w:hint="eastAsia" w:ascii="微软雅黑" w:hAnsi="微软雅黑" w:eastAsia="微软雅黑" w:cs="微软雅黑"/>
          <w:lang w:val="en-US" w:eastAsia="zh-CN"/>
        </w:rPr>
      </w:pPr>
      <w:bookmarkStart w:id="7" w:name="_GoBack"/>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83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6C0259">
            <w:pPr>
              <w:widowControl w:val="0"/>
              <w:numPr>
                <w:ilvl w:val="0"/>
                <w:numId w:val="0"/>
              </w:numPr>
              <w:jc w:val="both"/>
              <w:rPr>
                <w:rFonts w:hint="eastAsia" w:ascii="微软雅黑" w:hAnsi="微软雅黑" w:eastAsia="微软雅黑" w:cs="微软雅黑"/>
                <w:vertAlign w:val="baseline"/>
                <w:lang w:val="en-US" w:eastAsia="zh-CN"/>
              </w:rPr>
            </w:pPr>
            <w:r>
              <w:rPr>
                <w:rFonts w:ascii="宋体" w:hAnsi="宋体" w:eastAsia="宋体" w:cs="宋体"/>
                <w:sz w:val="24"/>
                <w:szCs w:val="24"/>
              </w:rPr>
              <w:t>Name</w:t>
            </w:r>
          </w:p>
        </w:tc>
        <w:tc>
          <w:tcPr>
            <w:tcW w:w="4261" w:type="dxa"/>
          </w:tcPr>
          <w:p w14:paraId="0E57C2C0">
            <w:pPr>
              <w:widowControl w:val="0"/>
              <w:numPr>
                <w:ilvl w:val="0"/>
                <w:numId w:val="0"/>
              </w:numPr>
              <w:jc w:val="both"/>
              <w:rPr>
                <w:rFonts w:hint="eastAsia" w:ascii="微软雅黑" w:hAnsi="微软雅黑" w:eastAsia="微软雅黑" w:cs="微软雅黑"/>
                <w:vertAlign w:val="baseline"/>
                <w:lang w:val="en-US" w:eastAsia="zh-CN"/>
              </w:rPr>
            </w:pPr>
            <w:r>
              <w:rPr>
                <w:rFonts w:ascii="宋体" w:hAnsi="宋体" w:eastAsia="宋体" w:cs="宋体"/>
                <w:sz w:val="24"/>
                <w:szCs w:val="24"/>
              </w:rPr>
              <w:t>Description</w:t>
            </w:r>
          </w:p>
        </w:tc>
      </w:tr>
      <w:tr w14:paraId="7C2D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26F0D0">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IvorySQL kernel</w:t>
            </w:r>
          </w:p>
        </w:tc>
        <w:tc>
          <w:tcPr>
            <w:tcW w:w="4261" w:type="dxa"/>
          </w:tcPr>
          <w:p w14:paraId="4C5E639A">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The business database kernel (IvorySQL / Postgres). It stores business data in row-store tables, handles online transactions, produces WAL logs, and provides a change stream to downstream via logical replication slots; in Oracle compatibility mode it provides Oracle syntax and type support.</w:t>
            </w:r>
          </w:p>
        </w:tc>
      </w:tr>
      <w:tr w14:paraId="29FE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4B45EBD">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Ivy_mooncake</w:t>
            </w:r>
          </w:p>
        </w:tc>
        <w:tc>
          <w:tcPr>
            <w:tcW w:w="4261" w:type="dxa"/>
          </w:tcPr>
          <w:p w14:paraId="5ECCE64A">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The extension entry module. It registers the mooncake table access method (USING mooncake) and drives moonlink to create and manage columnstore mirrors; it is the unified entry point for users to operate on mirror tables.</w:t>
            </w:r>
          </w:p>
        </w:tc>
      </w:tr>
      <w:tr w14:paraId="5733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25D15C">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Ivy_moonlink</w:t>
            </w:r>
          </w:p>
        </w:tc>
        <w:tc>
          <w:tcPr>
            <w:tcW w:w="4261" w:type="dxa"/>
          </w:tcPr>
          <w:p w14:paraId="0B46F172">
            <w:pPr>
              <w:widowControl w:val="0"/>
              <w:numPr>
                <w:ilvl w:val="0"/>
                <w:numId w:val="0"/>
              </w:numPr>
              <w:jc w:val="both"/>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The real-time CDC module (a Rust background process, Background Worker). It reads WAL through a logical replication slot, pulls table schemas, and decodes and persists changes.</w:t>
            </w:r>
          </w:p>
        </w:tc>
      </w:tr>
      <w:tr w14:paraId="7D22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2D2A3AB">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Ivy_duckdb</w:t>
            </w:r>
          </w:p>
        </w:tc>
        <w:tc>
          <w:tcPr>
            <w:tcW w:w="4261" w:type="dxa"/>
          </w:tcPr>
          <w:p w14:paraId="4E8F82B2">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The analytics execution module. It translates the Postgres plan tree into a DuckDB plan, invokes the in-process DuckDB engine to scan the Iceberg mirror, and performs bidirectional type mapping between PG and DuckDB.</w:t>
            </w:r>
          </w:p>
        </w:tc>
      </w:tr>
      <w:tr w14:paraId="3659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D1E582">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Iceberg warehouse</w:t>
            </w:r>
          </w:p>
        </w:tc>
        <w:tc>
          <w:tcPr>
            <w:tcW w:w="4261" w:type="dxa"/>
          </w:tcPr>
          <w:p w14:paraId="1E0344BB">
            <w:pPr>
              <w:widowControl w:val="0"/>
              <w:numPr>
                <w:ilvl w:val="0"/>
                <w:numId w:val="0"/>
              </w:numPr>
              <w:jc w:val="both"/>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Persistent storage for the columnstore mirror (Apache Iceberg open format: Parquet data + standard metadata).</w:t>
            </w:r>
          </w:p>
        </w:tc>
      </w:tr>
    </w:tbl>
    <w:p w14:paraId="6EF38536">
      <w:pPr>
        <w:widowControl w:val="0"/>
        <w:numPr>
          <w:ilvl w:val="0"/>
          <w:numId w:val="0"/>
        </w:numPr>
        <w:jc w:val="both"/>
        <w:rPr>
          <w:rFonts w:hint="eastAsia" w:ascii="微软雅黑" w:hAnsi="微软雅黑" w:eastAsia="微软雅黑" w:cs="微软雅黑"/>
          <w:lang w:val="en-US" w:eastAsia="zh-CN"/>
        </w:rPr>
      </w:pPr>
    </w:p>
    <w:p w14:paraId="6611CE7A">
      <w:pPr>
        <w:pStyle w:val="3"/>
        <w:numPr>
          <w:ilvl w:val="0"/>
          <w:numId w:val="2"/>
        </w:numPr>
        <w:bidi w:val="0"/>
        <w:ind w:left="0" w:leftChars="0" w:firstLine="0" w:firstLineChars="0"/>
        <w:rPr>
          <w:rFonts w:hint="eastAsia"/>
          <w:lang w:val="en-US" w:eastAsia="zh-CN"/>
        </w:rPr>
      </w:pPr>
      <w:bookmarkStart w:id="5" w:name="_Toc23813"/>
      <w:r>
        <w:rPr>
          <w:rFonts w:hint="eastAsia"/>
          <w:lang w:val="en-US" w:eastAsia="zh-CN"/>
        </w:rPr>
        <w:t>Deployment Forms</w:t>
      </w:r>
      <w:bookmarkEnd w:id="5"/>
    </w:p>
    <w:p w14:paraId="02DB191B">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ivy_mooncake supports two deployment forms: the full edition and the simplified edition.</w:t>
      </w:r>
    </w:p>
    <w:p w14:paraId="64CC54AC">
      <w:pPr>
        <w:numPr>
          <w:ilvl w:val="0"/>
          <w:numId w:val="0"/>
        </w:numPr>
        <w:ind w:leftChars="0"/>
        <w:rPr>
          <w:rFonts w:hint="eastAsia" w:ascii="微软雅黑" w:hAnsi="微软雅黑" w:eastAsia="微软雅黑" w:cs="微软雅黑"/>
          <w:lang w:val="en-US" w:eastAsia="zh-CN"/>
        </w:rPr>
      </w:pPr>
    </w:p>
    <w:p w14:paraId="4293CC82">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Common Concepts</w:t>
      </w:r>
    </w:p>
    <w:p w14:paraId="5E2C6F1F">
      <w:pPr>
        <w:numPr>
          <w:ilvl w:val="0"/>
          <w:numId w:val="0"/>
        </w:numPr>
        <w:ind w:leftChars="0"/>
        <w:rPr>
          <w:rFonts w:hint="eastAsia" w:ascii="微软雅黑" w:hAnsi="微软雅黑" w:eastAsia="微软雅黑" w:cs="微软雅黑"/>
          <w:lang w:val="en-US" w:eastAsia="zh-CN"/>
        </w:rPr>
      </w:pPr>
    </w:p>
    <w:p w14:paraId="6FEE1FFD">
      <w:pPr>
        <w:numPr>
          <w:ilvl w:val="0"/>
          <w:numId w:val="5"/>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Full edition</w:t>
      </w:r>
    </w:p>
    <w:p w14:paraId="53C0DA12">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The full edition refers to deploying ivy_mooncake + ivy_duckdb + the ivy_moonlink background process together. It supports mirroring Postgres tables to Iceberg in real time and accelerating analytics with DuckDB.</w:t>
      </w:r>
    </w:p>
    <w:p w14:paraId="33EEA0FF">
      <w:pPr>
        <w:numPr>
          <w:ilvl w:val="0"/>
          <w:numId w:val="0"/>
        </w:numPr>
        <w:ind w:leftChars="0"/>
        <w:rPr>
          <w:rFonts w:hint="eastAsia" w:ascii="微软雅黑" w:hAnsi="微软雅黑" w:eastAsia="微软雅黑" w:cs="微软雅黑"/>
          <w:lang w:val="en-US" w:eastAsia="zh-CN"/>
        </w:rPr>
      </w:pPr>
    </w:p>
    <w:p w14:paraId="770789F1">
      <w:pPr>
        <w:numPr>
          <w:ilvl w:val="0"/>
          <w:numId w:val="5"/>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Simplified edition</w:t>
      </w:r>
    </w:p>
    <w:p w14:paraId="1063E5F6">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The simplified edition refers to deploying only ivy_duckdb. There is no ivy_moonlink background process and no writing to Iceberg; it performs read-only federated analytics over external Iceberg or PG tables only.</w:t>
      </w:r>
    </w:p>
    <w:p w14:paraId="41060EE5">
      <w:pPr>
        <w:numPr>
          <w:ilvl w:val="0"/>
          <w:numId w:val="0"/>
        </w:numPr>
        <w:ind w:leftChars="0"/>
        <w:rPr>
          <w:rFonts w:hint="eastAsia" w:ascii="微软雅黑" w:hAnsi="微软雅黑" w:eastAsia="微软雅黑" w:cs="微软雅黑"/>
          <w:lang w:val="en-US" w:eastAsia="zh-CN"/>
        </w:rPr>
      </w:pPr>
    </w:p>
    <w:p w14:paraId="43C6E9D8">
      <w:pPr>
        <w:numPr>
          <w:ilvl w:val="0"/>
          <w:numId w:val="5"/>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Background process</w:t>
      </w:r>
    </w:p>
    <w:p w14:paraId="74128DC8">
      <w:pPr>
        <w:numPr>
          <w:ilvl w:val="0"/>
          <w:numId w:val="0"/>
        </w:numPr>
        <w:ind w:leftChars="0"/>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The background process refers to the ivy_moonlink CDC engine, which handles the write path. Whether it is registered is controlled by the GUC parameter pg_mooncake.enable_bgworker (takes effect after restart); turning it off degrades to simplified-edition capability.</w:t>
      </w:r>
    </w:p>
    <w:p w14:paraId="7AAB5244">
      <w:pPr>
        <w:numPr>
          <w:ilvl w:val="0"/>
          <w:numId w:val="0"/>
        </w:numPr>
        <w:ind w:leftChars="0"/>
        <w:rPr>
          <w:rFonts w:hint="eastAsia" w:ascii="微软雅黑" w:hAnsi="微软雅黑" w:eastAsia="微软雅黑" w:cs="微软雅黑"/>
          <w:lang w:val="en-US" w:eastAsia="zh-CN"/>
        </w:rPr>
      </w:pPr>
    </w:p>
    <w:p w14:paraId="213AA30C">
      <w:pPr>
        <w:numPr>
          <w:ilvl w:val="0"/>
          <w:numId w:val="5"/>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Columnstore mirror</w:t>
      </w:r>
    </w:p>
    <w:p w14:paraId="2E985BAE">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A columnstore mirror is an Iceberg-format table created with the USING mooncake access method and synchronized in real time with the source row-store table via CDC.</w:t>
      </w:r>
    </w:p>
    <w:p w14:paraId="30EC370E">
      <w:pPr>
        <w:numPr>
          <w:ilvl w:val="0"/>
          <w:numId w:val="0"/>
        </w:numPr>
        <w:ind w:leftChars="0"/>
        <w:rPr>
          <w:rFonts w:hint="eastAsia" w:ascii="微软雅黑" w:hAnsi="微软雅黑" w:eastAsia="微软雅黑" w:cs="微软雅黑"/>
          <w:lang w:val="en-US" w:eastAsia="zh-CN"/>
        </w:rPr>
      </w:pPr>
    </w:p>
    <w:p w14:paraId="163E9440">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See the table below for an overview of the full and simplified deployment forms: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14:paraId="481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17A174">
            <w:pPr>
              <w:numPr>
                <w:ilvl w:val="0"/>
                <w:numId w:val="0"/>
              </w:numPr>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Dimension</w:t>
            </w:r>
          </w:p>
        </w:tc>
        <w:tc>
          <w:tcPr>
            <w:tcW w:w="2840" w:type="dxa"/>
          </w:tcPr>
          <w:p w14:paraId="053551B0">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Full edition</w:t>
            </w:r>
          </w:p>
        </w:tc>
        <w:tc>
          <w:tcPr>
            <w:tcW w:w="2840" w:type="dxa"/>
          </w:tcPr>
          <w:p w14:paraId="2A400E1B">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Simplified edition (ivy_duckdb only)</w:t>
            </w:r>
          </w:p>
        </w:tc>
      </w:tr>
      <w:tr w14:paraId="0BE3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5B5BD30">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Extension set</w:t>
            </w:r>
          </w:p>
        </w:tc>
        <w:tc>
          <w:tcPr>
            <w:tcW w:w="2840" w:type="dxa"/>
          </w:tcPr>
          <w:p w14:paraId="3F394297">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Ivy_mooncake,ivy_duckdb</w:t>
            </w:r>
          </w:p>
        </w:tc>
        <w:tc>
          <w:tcPr>
            <w:tcW w:w="2840" w:type="dxa"/>
          </w:tcPr>
          <w:p w14:paraId="68C8287D">
            <w:pPr>
              <w:numPr>
                <w:ilvl w:val="0"/>
                <w:numId w:val="0"/>
              </w:numPr>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ivy_duckdb</w:t>
            </w:r>
          </w:p>
        </w:tc>
      </w:tr>
      <w:tr w14:paraId="2CC4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A95053">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Background process</w:t>
            </w:r>
          </w:p>
        </w:tc>
        <w:tc>
          <w:tcPr>
            <w:tcW w:w="2840" w:type="dxa"/>
          </w:tcPr>
          <w:p w14:paraId="5B953228">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Required (moonlink_service)</w:t>
            </w:r>
          </w:p>
        </w:tc>
        <w:tc>
          <w:tcPr>
            <w:tcW w:w="2840" w:type="dxa"/>
          </w:tcPr>
          <w:p w14:paraId="3E0BD90D">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Not required</w:t>
            </w:r>
          </w:p>
        </w:tc>
      </w:tr>
      <w:tr w14:paraId="7C4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4EA7FD">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Persist to Iceberg</w:t>
            </w:r>
          </w:p>
        </w:tc>
        <w:tc>
          <w:tcPr>
            <w:tcW w:w="2840" w:type="dxa"/>
          </w:tcPr>
          <w:p w14:paraId="0136D5BE">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Supported</w:t>
            </w:r>
          </w:p>
        </w:tc>
        <w:tc>
          <w:tcPr>
            <w:tcW w:w="2840" w:type="dxa"/>
          </w:tcPr>
          <w:p w14:paraId="60FDA59C">
            <w:pPr>
              <w:numPr>
                <w:ilvl w:val="0"/>
                <w:numId w:val="0"/>
              </w:numPr>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Not supported (read-only over existing Iceberg/PG row store)</w:t>
            </w:r>
          </w:p>
        </w:tc>
      </w:tr>
      <w:tr w14:paraId="56D8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74CC7B4">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Primary use</w:t>
            </w:r>
          </w:p>
        </w:tc>
        <w:tc>
          <w:tcPr>
            <w:tcW w:w="2840" w:type="dxa"/>
          </w:tcPr>
          <w:p w14:paraId="529E9398">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OLAP mirror, near-real-time analytics</w:t>
            </w:r>
          </w:p>
        </w:tc>
        <w:tc>
          <w:tcPr>
            <w:tcW w:w="2840" w:type="dxa"/>
          </w:tcPr>
          <w:p w14:paraId="03CD1203">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Read-only analytics</w:t>
            </w:r>
          </w:p>
        </w:tc>
      </w:tr>
      <w:tr w14:paraId="063F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C01E40">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Deployment footprint</w:t>
            </w:r>
          </w:p>
        </w:tc>
        <w:tc>
          <w:tcPr>
            <w:tcW w:w="2840" w:type="dxa"/>
          </w:tcPr>
          <w:p w14:paraId="278CCA2C">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Larger</w:t>
            </w:r>
          </w:p>
        </w:tc>
        <w:tc>
          <w:tcPr>
            <w:tcW w:w="2840" w:type="dxa"/>
          </w:tcPr>
          <w:p w14:paraId="6DD25B08">
            <w:pPr>
              <w:numPr>
                <w:ilvl w:val="0"/>
                <w:numId w:val="0"/>
              </w:num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Smaller</w:t>
            </w:r>
          </w:p>
        </w:tc>
      </w:tr>
    </w:tbl>
    <w:p w14:paraId="0C1792AA">
      <w:pPr>
        <w:numPr>
          <w:ilvl w:val="0"/>
          <w:numId w:val="0"/>
        </w:numPr>
        <w:ind w:leftChars="0"/>
        <w:rPr>
          <w:rFonts w:hint="eastAsia" w:ascii="微软雅黑" w:hAnsi="微软雅黑" w:eastAsia="微软雅黑" w:cs="微软雅黑"/>
          <w:lang w:val="en-US" w:eastAsia="zh-CN"/>
        </w:rPr>
      </w:pPr>
    </w:p>
    <w:p w14:paraId="005218B6">
      <w:pPr>
        <w:pStyle w:val="3"/>
        <w:numPr>
          <w:ilvl w:val="0"/>
          <w:numId w:val="2"/>
        </w:numPr>
        <w:bidi w:val="0"/>
        <w:rPr>
          <w:rFonts w:hint="eastAsia"/>
          <w:lang w:val="en-US" w:eastAsia="zh-CN"/>
        </w:rPr>
      </w:pPr>
      <w:bookmarkStart w:id="6" w:name="_Toc18248"/>
      <w:r>
        <w:rPr>
          <w:rFonts w:hint="eastAsia"/>
          <w:lang w:val="en-US" w:eastAsia="zh-CN"/>
        </w:rPr>
        <w:t>Roadmap</w:t>
      </w:r>
      <w:bookmarkEnd w:id="6"/>
    </w:p>
    <w:p w14:paraId="7039F3C1">
      <w:pPr>
        <w:numPr>
          <w:ilvl w:val="0"/>
          <w:numId w:val="6"/>
        </w:numPr>
        <w:ind w:leftChars="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Integrate cloud storage (S3, R2) and the Iceberg REST catalog</w:t>
      </w:r>
    </w:p>
    <w:p w14:paraId="441ECD75">
      <w:pPr>
        <w:numPr>
          <w:ilvl w:val="0"/>
          <w:numId w:val="6"/>
        </w:numPr>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Secondary indexes on columnstore tables (full-text index, vector index)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E5A5D"/>
    <w:multiLevelType w:val="singleLevel"/>
    <w:tmpl w:val="8DFE5A5D"/>
    <w:lvl w:ilvl="0" w:tentative="0">
      <w:start w:val="1"/>
      <w:numFmt w:val="bullet"/>
      <w:lvlText w:val=""/>
      <w:lvlJc w:val="left"/>
      <w:pPr>
        <w:ind w:left="420" w:hanging="420"/>
      </w:pPr>
      <w:rPr>
        <w:rFonts w:hint="default" w:ascii="Wingdings" w:hAnsi="Wingdings"/>
      </w:rPr>
    </w:lvl>
  </w:abstractNum>
  <w:abstractNum w:abstractNumId="1">
    <w:nsid w:val="918750BC"/>
    <w:multiLevelType w:val="singleLevel"/>
    <w:tmpl w:val="918750BC"/>
    <w:lvl w:ilvl="0" w:tentative="0">
      <w:start w:val="2"/>
      <w:numFmt w:val="chineseCounting"/>
      <w:suff w:val="nothing"/>
      <w:lvlText w:val="%1、"/>
      <w:lvlJc w:val="left"/>
      <w:rPr>
        <w:rFonts w:hint="eastAsia"/>
      </w:rPr>
    </w:lvl>
  </w:abstractNum>
  <w:abstractNum w:abstractNumId="2">
    <w:nsid w:val="9D8D87C9"/>
    <w:multiLevelType w:val="singleLevel"/>
    <w:tmpl w:val="9D8D87C9"/>
    <w:lvl w:ilvl="0" w:tentative="0">
      <w:start w:val="1"/>
      <w:numFmt w:val="bullet"/>
      <w:lvlText w:val=""/>
      <w:lvlJc w:val="left"/>
      <w:pPr>
        <w:ind w:left="420" w:hanging="420"/>
      </w:pPr>
      <w:rPr>
        <w:rFonts w:hint="default" w:ascii="Wingdings" w:hAnsi="Wingdings"/>
      </w:rPr>
    </w:lvl>
  </w:abstractNum>
  <w:abstractNum w:abstractNumId="3">
    <w:nsid w:val="BBF57440"/>
    <w:multiLevelType w:val="singleLevel"/>
    <w:tmpl w:val="BBF57440"/>
    <w:lvl w:ilvl="0" w:tentative="0">
      <w:start w:val="1"/>
      <w:numFmt w:val="decimal"/>
      <w:suff w:val="nothing"/>
      <w:lvlText w:val="%1、"/>
      <w:lvlJc w:val="left"/>
    </w:lvl>
  </w:abstractNum>
  <w:abstractNum w:abstractNumId="4">
    <w:nsid w:val="C22785E4"/>
    <w:multiLevelType w:val="singleLevel"/>
    <w:tmpl w:val="C22785E4"/>
    <w:lvl w:ilvl="0" w:tentative="0">
      <w:start w:val="1"/>
      <w:numFmt w:val="bullet"/>
      <w:lvlText w:val=""/>
      <w:lvlJc w:val="left"/>
      <w:pPr>
        <w:ind w:left="420" w:hanging="420"/>
      </w:pPr>
      <w:rPr>
        <w:rFonts w:hint="default" w:ascii="Wingdings" w:hAnsi="Wingdings"/>
      </w:rPr>
    </w:lvl>
  </w:abstractNum>
  <w:abstractNum w:abstractNumId="5">
    <w:nsid w:val="FF572A15"/>
    <w:multiLevelType w:val="singleLevel"/>
    <w:tmpl w:val="FF572A1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231"/>
    <w:rsid w:val="015A5C8A"/>
    <w:rsid w:val="033F6241"/>
    <w:rsid w:val="0393174D"/>
    <w:rsid w:val="05273C7A"/>
    <w:rsid w:val="07035F04"/>
    <w:rsid w:val="0B654ED8"/>
    <w:rsid w:val="0EFC01A2"/>
    <w:rsid w:val="0F2B6A4C"/>
    <w:rsid w:val="100030EB"/>
    <w:rsid w:val="10B71042"/>
    <w:rsid w:val="12560D57"/>
    <w:rsid w:val="12A97D33"/>
    <w:rsid w:val="13335F97"/>
    <w:rsid w:val="13DD512E"/>
    <w:rsid w:val="15042FE5"/>
    <w:rsid w:val="151A7F78"/>
    <w:rsid w:val="1575470E"/>
    <w:rsid w:val="158C40CE"/>
    <w:rsid w:val="159B19FD"/>
    <w:rsid w:val="16021876"/>
    <w:rsid w:val="185537EF"/>
    <w:rsid w:val="18805781"/>
    <w:rsid w:val="1A53593D"/>
    <w:rsid w:val="1BE44EAC"/>
    <w:rsid w:val="1CF93E93"/>
    <w:rsid w:val="1E996DDC"/>
    <w:rsid w:val="1FDF724A"/>
    <w:rsid w:val="20686980"/>
    <w:rsid w:val="2070550A"/>
    <w:rsid w:val="223B3771"/>
    <w:rsid w:val="231B3181"/>
    <w:rsid w:val="256242E5"/>
    <w:rsid w:val="27315DD3"/>
    <w:rsid w:val="29460768"/>
    <w:rsid w:val="2AD1624A"/>
    <w:rsid w:val="2D6D50F9"/>
    <w:rsid w:val="2EAB53B6"/>
    <w:rsid w:val="2F2E6FE6"/>
    <w:rsid w:val="2F6A157A"/>
    <w:rsid w:val="3296307C"/>
    <w:rsid w:val="33DE722D"/>
    <w:rsid w:val="344D5340"/>
    <w:rsid w:val="34CB26EB"/>
    <w:rsid w:val="35E36704"/>
    <w:rsid w:val="365860EB"/>
    <w:rsid w:val="36AA1853"/>
    <w:rsid w:val="36E50873"/>
    <w:rsid w:val="36ED0778"/>
    <w:rsid w:val="37920F3E"/>
    <w:rsid w:val="37E347C0"/>
    <w:rsid w:val="380E2C43"/>
    <w:rsid w:val="38707839"/>
    <w:rsid w:val="39F057E5"/>
    <w:rsid w:val="39FC3F7F"/>
    <w:rsid w:val="3B245DB9"/>
    <w:rsid w:val="3BE01960"/>
    <w:rsid w:val="3E8A370C"/>
    <w:rsid w:val="403A7797"/>
    <w:rsid w:val="421415EC"/>
    <w:rsid w:val="425704AF"/>
    <w:rsid w:val="43582D63"/>
    <w:rsid w:val="43584D01"/>
    <w:rsid w:val="44AD1387"/>
    <w:rsid w:val="46C50F82"/>
    <w:rsid w:val="48B100D3"/>
    <w:rsid w:val="4A0265F3"/>
    <w:rsid w:val="4DA51819"/>
    <w:rsid w:val="4F8808D8"/>
    <w:rsid w:val="533B4B60"/>
    <w:rsid w:val="54685EAE"/>
    <w:rsid w:val="55DB4F23"/>
    <w:rsid w:val="5A226467"/>
    <w:rsid w:val="5B264A3C"/>
    <w:rsid w:val="5BA6329C"/>
    <w:rsid w:val="5E051395"/>
    <w:rsid w:val="5EC26852"/>
    <w:rsid w:val="5FC758B8"/>
    <w:rsid w:val="62D375E5"/>
    <w:rsid w:val="64DC4A2F"/>
    <w:rsid w:val="64E35BA2"/>
    <w:rsid w:val="653325E9"/>
    <w:rsid w:val="65DF22BC"/>
    <w:rsid w:val="68454FE5"/>
    <w:rsid w:val="6A4626EF"/>
    <w:rsid w:val="6AF77E0B"/>
    <w:rsid w:val="6B325F00"/>
    <w:rsid w:val="6B8D38E9"/>
    <w:rsid w:val="6BEC0B71"/>
    <w:rsid w:val="6C1A04F7"/>
    <w:rsid w:val="6DAB36CB"/>
    <w:rsid w:val="70826EAE"/>
    <w:rsid w:val="71746AA2"/>
    <w:rsid w:val="732C4B32"/>
    <w:rsid w:val="76211EB8"/>
    <w:rsid w:val="76CC09D3"/>
    <w:rsid w:val="77DD6EF2"/>
    <w:rsid w:val="785C3891"/>
    <w:rsid w:val="78684BB6"/>
    <w:rsid w:val="7B383966"/>
    <w:rsid w:val="7B3F44E6"/>
    <w:rsid w:val="7B8437E3"/>
    <w:rsid w:val="7C3C5007"/>
    <w:rsid w:val="7DF22338"/>
    <w:rsid w:val="7EF9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toc 1"/>
    <w:basedOn w:val="1"/>
    <w:next w:val="1"/>
    <w:uiPriority w:val="0"/>
  </w:style>
  <w:style w:type="paragraph" w:styleId="6">
    <w:name w:val="toc 2"/>
    <w:basedOn w:val="1"/>
    <w:next w:val="1"/>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1169</Words>
  <Characters>7403</Characters>
  <Lines>0</Lines>
  <Paragraphs>0</Paragraphs>
  <TotalTime>0</TotalTime>
  <ScaleCrop>false</ScaleCrop>
  <LinksUpToDate>false</LinksUpToDate>
  <CharactersWithSpaces>8490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2026-06-02T05:06:00Z</dcterms:created>
  <dc:creator>taoz</dc:creator>
  <cp:lastModifiedBy>tz</cp:lastModifiedBy>
  <dcterms:modified xsi:type="dcterms:W3CDTF">2026-06-30T09:21:33Z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eyJoZGlkIjoiY2M0N2E2ODUzODI5M2VkYjI2ZWI1ZjczOTg2M2M0MTkiLCJ1c2VySWQiOiI1NzM3MDc3MzAifQ==</vt:lpwstr>
  </property>
  <property fmtid="{D5CDD505-2E9C-101B-9397-08002B2CF9AE}" pid="4" name="ICV">
    <vt:lpwstr>8CD7AADED1B140A4AC70A269992053DE_13</vt:lpwstr>
  </property>
</Properties>
</file>